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Declaro que ao consultar o [</w:t>
      </w:r>
      <w:r w:rsidDel="00000000" w:rsidR="00000000" w:rsidRPr="00000000">
        <w:rPr>
          <w:highlight w:val="yellow"/>
          <w:rtl w:val="0"/>
        </w:rPr>
        <w:t xml:space="preserve">Guia Nacional de Compras Sustentáveis (TCU, Ac. 2.380/2012-2a Câmara), o Guia Nacional de Contratações Sustentáveis (CNS/CGU)</w:t>
      </w:r>
      <w:r w:rsidDel="00000000" w:rsidR="00000000" w:rsidRPr="00000000">
        <w:rPr>
          <w:rtl w:val="0"/>
        </w:rPr>
        <w:t xml:space="preserve">] e outros manuais sobre práticas e critérios de sustentabilidade para compras ou aquisições públicas, não se encontrou nenhuma orientação específica para o objeto a ser contratado pelo processo n. 23505.000XXX/20XX-XX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Declaro que ao consultar [</w:t>
      </w:r>
      <w:r w:rsidDel="00000000" w:rsidR="00000000" w:rsidRPr="00000000">
        <w:rPr>
          <w:highlight w:val="yellow"/>
          <w:rtl w:val="0"/>
        </w:rPr>
        <w:t xml:space="preserve">Guia Nacional de Compras Sustentáveis (TCU, Ac. 2.380/2012-2a Câmara), o Guia Nacional de Contratações Sustentáveis (CNS/CGU)</w:t>
      </w:r>
      <w:r w:rsidDel="00000000" w:rsidR="00000000" w:rsidRPr="00000000">
        <w:rPr>
          <w:rtl w:val="0"/>
        </w:rPr>
        <w:t xml:space="preserve">] e outros manuais sobre práticas e critérios de sustentabilidade para compras ou aquisições públicas foram encontradas as seguintes orientações para o objeto a ser contratado pelo processo n. 23505.000XXX/20XX-XX: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1. [Orientação 1]</w:t>
      </w:r>
    </w:p>
    <w:p w:rsidR="00000000" w:rsidDel="00000000" w:rsidP="00000000" w:rsidRDefault="00000000" w:rsidRPr="00000000" w14:paraId="0000000B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2. [Orientação 2]</w:t>
      </w:r>
    </w:p>
    <w:p w:rsidR="00000000" w:rsidDel="00000000" w:rsidP="00000000" w:rsidRDefault="00000000" w:rsidRPr="00000000" w14:paraId="0000000C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3. [Orientação 3]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Declaro ainda que este processo foi elaborado conforme o Plano de Gestão de Logística Sustentável (PLS) 2022-2024 - IF SUDESTE MG, e atende os seguintes objetivos deste instrumento de governança: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1. [Objetivo 1]</w:t>
      </w:r>
    </w:p>
    <w:p w:rsidR="00000000" w:rsidDel="00000000" w:rsidP="00000000" w:rsidRDefault="00000000" w:rsidRPr="00000000" w14:paraId="00000011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2. [Objetivo 2]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3. [Objetivo 3]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Consulta ao PLS 2022-2024 - IF SUDESTE MG: </w:t>
      </w:r>
      <w:hyperlink r:id="rId6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https://www.ifsudestemg.edu.br/juizdefora/minuta-pls.pdf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Local, XX de XXXXX de 20XX.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fsudestemg.edu.br/juizdefora/minuta-p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