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2f2f2" w:val="clear"/>
        <w:spacing w:line="276" w:lineRule="auto"/>
        <w:jc w:val="center"/>
        <w:rPr>
          <w:rFonts w:ascii="Garamond" w:cs="Garamond" w:eastAsia="Garamond" w:hAnsi="Garamond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CERTIFICAÇÃO PROCESSUAL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f2f2f2" w:val="clear"/>
        <w:spacing w:after="12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Portaria PGF n. 263, de 05 de maio de 2017, art. 10.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4.0" w:type="dxa"/>
        <w:jc w:val="left"/>
        <w:tblInd w:w="-2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4"/>
        <w:tblGridChange w:id="0">
          <w:tblGrid>
            <w:gridCol w:w="8514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ind w:left="37" w:right="0" w:firstLine="0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IDENTIFICAÇÃO PROCESSUAL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line="48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Processo n.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23505.000210/2023-17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48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Volume (s):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48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Há processo (s) apensado (s)?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  X  ) Não (     ) Sim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480" w:lineRule="auto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Interessado (s):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  IF DO SUDESTE DE MG- CAMPUS SANTOS DUMONT - MG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CARACTERIZAÇÃO LICITATÓRIA</w:t>
            </w:r>
          </w:p>
        </w:tc>
      </w:tr>
      <w:tr>
        <w:trPr>
          <w:cantSplit w:val="0"/>
          <w:trHeight w:val="3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48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Aquisição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     Solicitação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2"/>
                <w:szCs w:val="22"/>
                <w:vertAlign w:val="baseline"/>
                <w:rtl w:val="0"/>
              </w:rPr>
              <w:t xml:space="preserve">nº: ______________________________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2"/>
                <w:szCs w:val="22"/>
                <w:highlight w:val="yell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2"/>
                <w:szCs w:val="22"/>
                <w:vertAlign w:val="baseline"/>
                <w:rtl w:val="0"/>
              </w:rPr>
              <w:t xml:space="preserve">( às fls.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48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 )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Serviços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        Solicitação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2"/>
                <w:szCs w:val="22"/>
                <w:vertAlign w:val="baseline"/>
                <w:rtl w:val="0"/>
              </w:rPr>
              <w:t xml:space="preserve"> nº: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2"/>
                <w:szCs w:val="22"/>
                <w:rtl w:val="0"/>
              </w:rPr>
              <w:t xml:space="preserve">22/2023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480" w:lineRule="auto"/>
              <w:jc w:val="both"/>
              <w:rPr>
                <w:rFonts w:ascii="Garamond" w:cs="Garamond" w:eastAsia="Garamond" w:hAnsi="Garamond"/>
                <w:b w:val="1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MODALIDADE: 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480" w:lineRule="auto"/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  ) Adesão SRP       (   ) Aditivo      (   ) Concorrência      (   ) Concurso     (   ) Consulta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48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  ) Convite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  ) Leilão      (   ) Leilão      (   ) Pregão     (  X  ) Pregão com SRP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480" w:lineRule="auto"/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  ) RDC     (   ) Tomada de Preços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480" w:lineRule="auto"/>
              <w:jc w:val="both"/>
              <w:rPr>
                <w:rFonts w:ascii="Garamond" w:cs="Garamond" w:eastAsia="Garamond" w:hAnsi="Garamond"/>
                <w:b w:val="1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480" w:lineRule="auto"/>
              <w:jc w:val="both"/>
              <w:rPr>
                <w:rFonts w:ascii="Garamond" w:cs="Garamond" w:eastAsia="Garamond" w:hAnsi="Garamond"/>
                <w:b w:val="1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CONTRATAÇÃO DIRETA</w:t>
            </w:r>
          </w:p>
          <w:p w:rsidR="00000000" w:rsidDel="00000000" w:rsidP="00000000" w:rsidRDefault="00000000" w:rsidRPr="00000000" w14:paraId="00000015">
            <w:pPr>
              <w:spacing w:line="480" w:lineRule="auto"/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 ) Dispensa     (   ) Inexigibilidade </w:t>
            </w:r>
          </w:p>
        </w:tc>
      </w:tr>
      <w:tr>
        <w:trPr>
          <w:cantSplit w:val="0"/>
          <w:trHeight w:val="3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480" w:lineRule="auto"/>
              <w:jc w:val="both"/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TIPO: </w:t>
            </w:r>
          </w:p>
          <w:p w:rsidR="00000000" w:rsidDel="00000000" w:rsidP="00000000" w:rsidRDefault="00000000" w:rsidRPr="00000000" w14:paraId="00000017">
            <w:pPr>
              <w:spacing w:line="480" w:lineRule="auto"/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 X ) Menor Preço:  (  X ) por item     (   ) por grupo    (   ) por item e grupo    </w:t>
            </w:r>
          </w:p>
          <w:p w:rsidR="00000000" w:rsidDel="00000000" w:rsidP="00000000" w:rsidRDefault="00000000" w:rsidRPr="00000000" w14:paraId="00000018">
            <w:pPr>
              <w:spacing w:line="480" w:lineRule="auto"/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   ) Melhor Técnica    (   ) Técnica e Preço    </w:t>
            </w:r>
          </w:p>
          <w:p w:rsidR="00000000" w:rsidDel="00000000" w:rsidP="00000000" w:rsidRDefault="00000000" w:rsidRPr="00000000" w14:paraId="00000019">
            <w:pPr>
              <w:spacing w:line="48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Descrição do objeto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Contratação de empresa especializada na prestação de serviços de viagens e turismo.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Valor Estimado da contratação/aquisição: 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R$87.353,02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Garamond" w:cs="Garamond" w:eastAsia="Garamond" w:hAnsi="Garamond"/>
          <w:b w:val="1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Garamond" w:cs="Garamond" w:eastAsia="Garamond" w:hAnsi="Garamond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Garamond" w:cs="Garamond" w:eastAsia="Garamond" w:hAnsi="Garamond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vertAlign w:val="baseline"/>
          <w:rtl w:val="0"/>
        </w:rPr>
        <w:t xml:space="preserve">CERTIFICO: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Que as minutas integrantes do presente processo foram extraídas do sítio eletrônico da Advocacia-Geral da União – AGU (Modelos de Licitações e Contratos) no endereço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Garamond" w:cs="Garamond" w:eastAsia="Garamond" w:hAnsi="Garamond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http://www.agu.gov.br</w:t>
        </w:r>
      </w:hyperlink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360" w:lineRule="auto"/>
        <w:ind w:left="720" w:right="0" w:hanging="36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Que conferi tratar-se de modelos de minutas atualizados, nos termos da Portaria PGF n. 263, de 05 de maio de 2017; 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Que a instrução processual foi devidamente cotejada com as listas de verificação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(checklists)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disponíveis no mesmo sítio acima apontado, justificando nos autos os documentos faltantes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(caso seja necessário)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before="0" w:line="252.00000000000003" w:lineRule="auto"/>
        <w:rPr>
          <w:rFonts w:ascii="Garamond" w:cs="Garamond" w:eastAsia="Garamond" w:hAnsi="Garamond"/>
          <w:b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Garamond" w:cs="Garamond" w:eastAsia="Garamond" w:hAnsi="Garamond"/>
          <w:b w:val="1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DECLARO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0.0" w:type="dxa"/>
        <w:jc w:val="left"/>
        <w:tblInd w:w="-2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0"/>
        <w:tblGridChange w:id="0">
          <w:tblGrid>
            <w:gridCol w:w="922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 )  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vertAlign w:val="baseline"/>
                <w:rtl w:val="0"/>
              </w:rPr>
              <w:t xml:space="preserve">Não foram realizadas quaisquer alterações nas minutas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x )   Foram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vertAlign w:val="baseline"/>
                <w:rtl w:val="0"/>
              </w:rPr>
              <w:t xml:space="preserve">incluídos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os trechos e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u w:val="single"/>
                <w:vertAlign w:val="baseline"/>
                <w:rtl w:val="0"/>
              </w:rPr>
              <w:t xml:space="preserve">realçados na própria minuta e cada item foi devidamente justificado neste documento e serão incluídos após análise da procuradoria  na minuta de: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X  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  Edital    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(X)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  Contrato  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(X ) 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Termo de Referência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  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  Outros: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Pelos motivos a seguir expostos ao final deste documento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(X) Foram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vertAlign w:val="baseline"/>
                <w:rtl w:val="0"/>
              </w:rPr>
              <w:t xml:space="preserve">suprimidos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 os trechos e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u w:val="single"/>
                <w:vertAlign w:val="baseline"/>
                <w:rtl w:val="0"/>
              </w:rPr>
              <w:t xml:space="preserve">realçados na própria minuta e cada item foi devidamente justificado neste documento e serão excluídos após a análise da procuradoria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 na minuta de: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X  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  Edital    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(X)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  Contrato  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X  ) 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Termo de Referência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  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  Outros: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Pelos motivos a seguir expostos ao final deste documento: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  ) Foi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vertAlign w:val="baseline"/>
                <w:rtl w:val="0"/>
              </w:rPr>
              <w:t xml:space="preserve">incluída cláusula específica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 na minuta 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X  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  Edital    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(X)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  Contrato  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X  ) 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Termo de Referência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(   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  Outros: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vertAlign w:val="baseline"/>
                <w:rtl w:val="0"/>
              </w:rPr>
              <w:t xml:space="preserve">Pelos motivos a seguir expostos (especificar cláusula):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00000000002" w:type="dxa"/>
        <w:jc w:val="left"/>
        <w:tblInd w:w="-1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9"/>
        <w:gridCol w:w="1189"/>
        <w:gridCol w:w="5236"/>
        <w:gridCol w:w="2026"/>
        <w:tblGridChange w:id="0">
          <w:tblGrid>
            <w:gridCol w:w="1179"/>
            <w:gridCol w:w="1189"/>
            <w:gridCol w:w="5236"/>
            <w:gridCol w:w="202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ITENS DO EDITAL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ITENS QUE SERÃO INCLUÍDOS OU EXCLUÍDOS OU ALTERADOS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LEGENDA: 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= EXCLUÍDO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= INCLUÍDO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= ALTERADO.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MOTIVO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OBS.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Adaptação do texto para o objeto da licitação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.980468750002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licitação dividida em itens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O orçamento não será sigiloso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1.4 - 1.6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 aplicam ao objeto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licitação será exclusiva para ME/EPP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4.2-4.3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licitação não será por maior desconto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4.11-4.13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 licitação não será por maior desconto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5.1.1-5.1.2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E/I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 de apresentação da Proposta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5.1.3-5.1.5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E/I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Forma de apresentação da Proposta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5.2.1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Forma de apresentação da Proposta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5.7-5.8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E/I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 certame será exclusivo para microempresa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5.9.1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Prazo de validade da proposta será de 60 dias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5.9.3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 critério de julgamento não será o de maior desconto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5.11-5.12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 serviço não é de mão de obra exclusiva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O critério de julgamento não será o de maior desconto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Valor percentual para diminuição dos valores dos lances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6.12- 6.14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 modo de disputa não será aberto e fechado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6.22.1-6.22.2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será licitação por grupo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6.22.6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Prazo para envio da proposta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será usada a inversão de fases neste certame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7.7 a 7.7.2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O serviço não é de mão de obra exclusiva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7.10.2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 trata regime de empreitada por preço 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7.12.2 a 7.12.5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O serviço não é de mão de obra exclusiva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8.4.1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Valor de acréscimo para consórcios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8.9 a 8.9.2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será necessária vistoria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Prazo para assinar a ARP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10.1-10.5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Formas para reajuste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11.4.2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Prazo para manifestação da intenção de recorrer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Endereço eletrônico para acesso aos autos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12.5-12.5.2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Percentual e prazo para multa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Endereço eletrônico para pedido de impugnação do Edital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Endereço eletrônico para o acesso ao Edital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Inclusão dos anexos necessários à contratação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0" w:before="240" w:line="240" w:lineRule="auto"/>
        <w:jc w:val="right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1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5"/>
        <w:gridCol w:w="1184"/>
        <w:gridCol w:w="5296"/>
        <w:gridCol w:w="1935"/>
        <w:tblGridChange w:id="0">
          <w:tblGrid>
            <w:gridCol w:w="1215"/>
            <w:gridCol w:w="1184"/>
            <w:gridCol w:w="5296"/>
            <w:gridCol w:w="193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ITENS DO TERMO DE REFERÊNCIA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ITENS QUE SERÃO INCLUÍDOS OU EXCLUÍDOS OU ALTERADOS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LEGENDA: 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= EXCLUÍDO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= INCLUÍDO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= ALTERADO.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C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SITUA-ÇÃO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MOTIVO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OBS.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Definição do objeto e indicação do local onde se encontram os itens do certame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.980468749990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Informação sobre a possibilidade de alteração do quantitativo para melhor mensuração por parte do licitante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Referência aos quantitativos estimados constantes no apêndice A do TR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Prazo de vigência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 Dados do objeto no Plano Anual de Contratações estão na folha 7 do processo administrativo e serão incluídos no TR após análise pela Procuradoria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Especificação do tópico de referência do ETP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4.1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Manifestação sobre critérios de sustentabilidade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4.2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Não se aplica ao objeto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4.3-4.6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Critérios para a subcontratação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Haverá exigência de para a contratação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4.9-4.11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Garantias para a contratação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4.13-4.16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haverá vistoria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5.1-5.1.10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Condições de execução do objeto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.98046875000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 de prestação dos serviços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serão necessários materiais suplementares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Informações relevantes para o dimensionamento da proposta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Prazo para garantia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6.13-6.14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será necessário preposto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7.1-7.1.3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E/A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Critérios de medição do serviço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7.5-7.5.4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 aplica ao objeto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Percentual de correção monetária em caso de atraso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7.26 a 7.34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será realizado pagamento antecipado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8.9-8.11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Empreitada por preço 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Documento para habilitação do licitante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8.18 e 8.20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Critério para habilitação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8.29-8.30.4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Critérios para qualificação técnica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8.30.5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 se aplica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9.1-9.3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Valor estimado da contratação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spacing w:before="240" w:lineRule="auto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-1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"/>
        <w:gridCol w:w="1335"/>
        <w:gridCol w:w="5295"/>
        <w:gridCol w:w="1935"/>
        <w:tblGridChange w:id="0">
          <w:tblGrid>
            <w:gridCol w:w="1065"/>
            <w:gridCol w:w="1335"/>
            <w:gridCol w:w="5295"/>
            <w:gridCol w:w="193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ITENS DA MINUTA DO CONTRATO</w:t>
            </w:r>
          </w:p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ITENS QUE SERÃO INCLUÍDOS OU EXCLUÍDOS OU ALTERADOS </w:t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LEGENDA: 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E </w:t>
            </w:r>
            <w:r w:rsidDel="00000000" w:rsidR="00000000" w:rsidRPr="00000000">
              <w:rPr>
                <w:highlight w:val="yellow"/>
                <w:rtl w:val="0"/>
              </w:rPr>
              <w:t xml:space="preserve">= EXCLUÍDO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</w:t>
            </w:r>
            <w:r w:rsidDel="00000000" w:rsidR="00000000" w:rsidRPr="00000000">
              <w:rPr>
                <w:highlight w:val="yellow"/>
                <w:rtl w:val="0"/>
              </w:rPr>
              <w:t xml:space="preserve"> = INCLUÍDO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highlight w:val="yellow"/>
                <w:rtl w:val="0"/>
              </w:rPr>
              <w:t xml:space="preserve">= ALTERADO.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57">
            <w:pPr>
              <w:keepNext w:val="1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SITUAÇÃO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MOTIVO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OBS.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Objeto da licitação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2.1-2.2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Vigência e prorrogação do contrato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2.3-2.8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Não se aplica ao objeto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4.9-4.9.4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Condições a serem atendidas caso haja subcontratação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5.1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Não se aplica ao objeto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5.4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Os valores efetivos serão apurados após a prestação do serviço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7.2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Índice de reajuste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8.10.1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Prazo para iniciar a prorrogação contratual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8.11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Prazo para restabelecimento do equilíbrio econômico-financeiro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8.12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Notificação as emitentes da garantia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9.24-9.26.1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Não se aplicam ao objeto a ser licitado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12.2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Percentual da multa moratória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.98046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12.14-12.16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Formas de extinção do contrato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12.17-12.20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Não se aplica ao objeto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spacing w:befor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before="240" w:line="240" w:lineRule="auto"/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DECLARO ao final, possuir competência para firmar a presente certificação.</w:t>
      </w:r>
    </w:p>
    <w:p w:rsidR="00000000" w:rsidDel="00000000" w:rsidP="00000000" w:rsidRDefault="00000000" w:rsidRPr="00000000" w14:paraId="00000195">
      <w:pPr>
        <w:pBdr>
          <w:bottom w:color="000000" w:space="2" w:sz="8" w:val="single"/>
        </w:pBdr>
        <w:spacing w:after="0" w:before="240" w:line="240" w:lineRule="auto"/>
        <w:jc w:val="right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Santos Dumont- MG,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Agosto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de 20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before="240" w:line="240" w:lineRule="auto"/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before="240" w:line="240" w:lineRule="auto"/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198">
      <w:pPr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Wellington Stroppa</w:t>
      </w:r>
    </w:p>
    <w:p w:rsidR="00000000" w:rsidDel="00000000" w:rsidP="00000000" w:rsidRDefault="00000000" w:rsidRPr="00000000" w14:paraId="00000199">
      <w:pPr>
        <w:jc w:val="center"/>
        <w:rPr/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vertAlign w:val="baseline"/>
          <w:rtl w:val="0"/>
        </w:rPr>
        <w:t xml:space="preserve">SIAPE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1260852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701" w:left="1701" w:right="1134" w:header="425" w:footer="6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cofont_Spranq_eco_San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widowControl w:val="1"/>
      <w:numPr>
        <w:ilvl w:val="0"/>
        <w:numId w:val="1"/>
      </w:numPr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CERTIFICAÇÃO PROCESSUAL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5">
    <w:pPr>
      <w:keepNext w:val="0"/>
      <w:keepLines w:val="0"/>
      <w:widowControl w:val="1"/>
      <w:numPr>
        <w:ilvl w:val="0"/>
        <w:numId w:val="1"/>
      </w:numPr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6">
    <w:pPr>
      <w:keepNext w:val="0"/>
      <w:keepLines w:val="0"/>
      <w:widowControl w:val="1"/>
      <w:numPr>
        <w:ilvl w:val="0"/>
        <w:numId w:val="1"/>
      </w:numPr>
      <w:spacing w:after="0" w:before="0" w:line="240" w:lineRule="auto"/>
      <w:ind w:left="0" w:right="424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keepNext w:val="0"/>
      <w:keepLines w:val="0"/>
      <w:widowControl w:val="1"/>
      <w:numPr>
        <w:ilvl w:val="0"/>
        <w:numId w:val="1"/>
      </w:numPr>
      <w:tabs>
        <w:tab w:val="left" w:leader="none" w:pos="1530"/>
        <w:tab w:val="center" w:leader="none" w:pos="4536"/>
      </w:tabs>
      <w:spacing w:after="0" w:before="0" w:line="240" w:lineRule="auto"/>
      <w:ind w:left="0" w:right="0" w:firstLine="0"/>
      <w:jc w:val="left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ab/>
    </w:r>
  </w:p>
  <w:tbl>
    <w:tblPr>
      <w:tblStyle w:val="Table6"/>
      <w:tblW w:w="9270.0" w:type="dxa"/>
      <w:jc w:val="left"/>
      <w:tblInd w:w="-216.0" w:type="dxa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735"/>
      <w:gridCol w:w="6510"/>
      <w:gridCol w:w="2025"/>
      <w:tblGridChange w:id="0">
        <w:tblGrid>
          <w:gridCol w:w="735"/>
          <w:gridCol w:w="6510"/>
          <w:gridCol w:w="2025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19B">
          <w:pPr>
            <w:keepNext w:val="0"/>
            <w:keepLines w:val="0"/>
            <w:widowControl w:val="1"/>
            <w:numPr>
              <w:ilvl w:val="0"/>
              <w:numId w:val="1"/>
            </w:numPr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C">
          <w:pPr>
            <w:keepNext w:val="0"/>
            <w:keepLines w:val="0"/>
            <w:widowControl w:val="1"/>
            <w:numPr>
              <w:ilvl w:val="0"/>
              <w:numId w:val="1"/>
            </w:numPr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D">
          <w:pPr>
            <w:keepNext w:val="0"/>
            <w:keepLines w:val="0"/>
            <w:widowControl w:val="1"/>
            <w:numPr>
              <w:ilvl w:val="0"/>
              <w:numId w:val="1"/>
            </w:numPr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941705" cy="61912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70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19E">
          <w:pPr>
            <w:numPr>
              <w:ilvl w:val="0"/>
              <w:numId w:val="1"/>
            </w:numPr>
            <w:ind w:left="142" w:right="0" w:firstLine="0"/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774700" cy="863600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F">
          <w:pPr>
            <w:keepNext w:val="0"/>
            <w:keepLines w:val="0"/>
            <w:widowControl w:val="1"/>
            <w:numPr>
              <w:ilvl w:val="0"/>
              <w:numId w:val="1"/>
            </w:numPr>
            <w:spacing w:after="0" w:before="0" w:line="240" w:lineRule="auto"/>
            <w:ind w:left="-242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0">
          <w:pPr>
            <w:keepNext w:val="0"/>
            <w:keepLines w:val="0"/>
            <w:widowControl w:val="1"/>
            <w:numPr>
              <w:ilvl w:val="0"/>
              <w:numId w:val="1"/>
            </w:numPr>
            <w:spacing w:after="0" w:before="0" w:line="240" w:lineRule="auto"/>
            <w:ind w:left="-242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</w:rPr>
          </w:pPr>
          <w:r w:rsidDel="00000000" w:rsidR="00000000" w:rsidRPr="00000000">
            <w:rPr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  <w:rtl w:val="0"/>
            </w:rPr>
            <w:t xml:space="preserve">Instituto Federal de Educação, Ciência e Tecnologia do Sudeste de Minas Gerais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1">
          <w:pPr>
            <w:keepNext w:val="0"/>
            <w:keepLines w:val="0"/>
            <w:widowControl w:val="1"/>
            <w:numPr>
              <w:ilvl w:val="0"/>
              <w:numId w:val="1"/>
            </w:numPr>
            <w:spacing w:after="0" w:before="0" w:line="240" w:lineRule="auto"/>
            <w:ind w:left="-242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1A2">
          <w:pPr>
            <w:keepNext w:val="0"/>
            <w:keepLines w:val="0"/>
            <w:widowControl w:val="1"/>
            <w:numPr>
              <w:ilvl w:val="0"/>
              <w:numId w:val="1"/>
            </w:numPr>
            <w:spacing w:after="0" w:before="0" w:line="240" w:lineRule="auto"/>
            <w:ind w:left="142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A3">
    <w:pPr>
      <w:keepNext w:val="0"/>
      <w:keepLines w:val="0"/>
      <w:widowControl w:val="1"/>
      <w:numPr>
        <w:ilvl w:val="0"/>
        <w:numId w:val="1"/>
      </w:numPr>
      <w:tabs>
        <w:tab w:val="left" w:leader="none" w:pos="1530"/>
        <w:tab w:val="center" w:leader="none" w:pos="453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gu.gov.br/page/content/detail/id_conteudo/27026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fR53BHev1NHenTtVe0udnN9HYw==">CgMxLjA4AHIhMWVCR1dvTmppMlBPRkN5V2huS2JkcV85QVB1RTNLSVAt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